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33" w:rsidRDefault="00986733" w:rsidP="00986733">
      <w:pPr>
        <w:spacing w:after="0" w:line="240" w:lineRule="auto"/>
        <w:jc w:val="center"/>
        <w:rPr>
          <w:rFonts w:ascii="Times New Roman" w:hAnsi="Times New Roman" w:cs="Times New Roman"/>
          <w:noProof/>
          <w:color w:val="000099"/>
        </w:rPr>
      </w:pPr>
      <w:r>
        <w:rPr>
          <w:rFonts w:ascii="Times New Roman" w:hAnsi="Times New Roman" w:cs="Times New Roman"/>
          <w:noProof/>
          <w:color w:val="000099"/>
        </w:rPr>
        <w:drawing>
          <wp:inline distT="0" distB="0" distL="0" distR="0">
            <wp:extent cx="4953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33" w:rsidRDefault="00986733" w:rsidP="009867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t>УКРАЇНА</w: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6656"/>
        <w:gridCol w:w="2085"/>
        <w:gridCol w:w="20"/>
      </w:tblGrid>
      <w:tr w:rsidR="00986733" w:rsidTr="00E411A1">
        <w:tc>
          <w:tcPr>
            <w:tcW w:w="898" w:type="dxa"/>
          </w:tcPr>
          <w:p w:rsidR="00986733" w:rsidRDefault="00986733" w:rsidP="00E41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  <w:gridSpan w:val="2"/>
            <w:vAlign w:val="center"/>
            <w:hideMark/>
          </w:tcPr>
          <w:p w:rsidR="00986733" w:rsidRDefault="00986733" w:rsidP="00E41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3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4"/>
              </w:rPr>
              <w:t>ХУСТСЬКА</w:t>
            </w:r>
            <w:r>
              <w:rPr>
                <w:rFonts w:ascii="Times New Roman" w:hAnsi="Times New Roman" w:cs="Times New Roman"/>
                <w:b/>
                <w:spacing w:val="20"/>
                <w:sz w:val="34"/>
                <w:vertAlign w:val="superscript"/>
              </w:rPr>
              <w:t> </w:t>
            </w:r>
            <w:r>
              <w:rPr>
                <w:rFonts w:ascii="Times New Roman" w:hAnsi="Times New Roman" w:cs="Times New Roman"/>
                <w:b/>
                <w:spacing w:val="20"/>
                <w:sz w:val="34"/>
              </w:rPr>
              <w:t>МІСЬКА</w:t>
            </w:r>
            <w:r>
              <w:rPr>
                <w:rFonts w:ascii="Times New Roman" w:hAnsi="Times New Roman" w:cs="Times New Roman"/>
                <w:b/>
                <w:spacing w:val="20"/>
                <w:sz w:val="34"/>
                <w:vertAlign w:val="superscript"/>
              </w:rPr>
              <w:t> </w:t>
            </w:r>
            <w:r>
              <w:rPr>
                <w:rFonts w:ascii="Times New Roman" w:hAnsi="Times New Roman" w:cs="Times New Roman"/>
                <w:b/>
                <w:spacing w:val="20"/>
                <w:sz w:val="34"/>
              </w:rPr>
              <w:t>РАДА</w:t>
            </w:r>
          </w:p>
          <w:p w:rsidR="00986733" w:rsidRDefault="00986733" w:rsidP="00E41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3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4"/>
              </w:rPr>
              <w:t>ВИКОНАВЧИЙ</w:t>
            </w:r>
            <w:r>
              <w:rPr>
                <w:rFonts w:ascii="Times New Roman" w:hAnsi="Times New Roman" w:cs="Times New Roman"/>
                <w:b/>
                <w:spacing w:val="20"/>
                <w:sz w:val="34"/>
                <w:vertAlign w:val="superscript"/>
              </w:rPr>
              <w:t> </w:t>
            </w:r>
            <w:r>
              <w:rPr>
                <w:rFonts w:ascii="Times New Roman" w:hAnsi="Times New Roman" w:cs="Times New Roman"/>
                <w:b/>
                <w:spacing w:val="20"/>
                <w:sz w:val="34"/>
              </w:rPr>
              <w:t>КОМІТЕТ</w:t>
            </w:r>
          </w:p>
        </w:tc>
        <w:tc>
          <w:tcPr>
            <w:tcW w:w="20" w:type="dxa"/>
          </w:tcPr>
          <w:p w:rsidR="00986733" w:rsidRDefault="00986733" w:rsidP="00E41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3" w:rsidTr="00E411A1">
        <w:trPr>
          <w:trHeight w:val="135"/>
        </w:trPr>
        <w:tc>
          <w:tcPr>
            <w:tcW w:w="898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86733" w:rsidRDefault="00986733" w:rsidP="00E411A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8741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986733" w:rsidRDefault="00986733" w:rsidP="00E411A1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86733" w:rsidRDefault="00986733" w:rsidP="00E411A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986733" w:rsidTr="00E411A1">
        <w:trPr>
          <w:gridBefore w:val="2"/>
          <w:gridAfter w:val="1"/>
          <w:wBefore w:w="7554" w:type="dxa"/>
          <w:wAfter w:w="20" w:type="dxa"/>
          <w:trHeight w:val="28"/>
        </w:trPr>
        <w:tc>
          <w:tcPr>
            <w:tcW w:w="2085" w:type="dxa"/>
            <w:hideMark/>
          </w:tcPr>
          <w:p w:rsidR="00986733" w:rsidRDefault="00986733" w:rsidP="00E411A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</w:tbl>
    <w:p w:rsidR="00986733" w:rsidRDefault="00986733" w:rsidP="0098673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РІШЕННЯ</w:t>
      </w:r>
      <w:r>
        <w:rPr>
          <w:rFonts w:ascii="Times New Roman" w:hAnsi="Times New Roman" w:cs="Times New Roman"/>
          <w:b/>
          <w:sz w:val="36"/>
          <w:vertAlign w:val="superscript"/>
        </w:rPr>
        <w:t> </w:t>
      </w:r>
      <w:r>
        <w:rPr>
          <w:rFonts w:ascii="Times New Roman" w:hAnsi="Times New Roman" w:cs="Times New Roman"/>
          <w:b/>
          <w:sz w:val="36"/>
        </w:rPr>
        <w:t>№___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570"/>
        <w:gridCol w:w="5069"/>
      </w:tblGrid>
      <w:tr w:rsidR="00986733" w:rsidTr="00E411A1">
        <w:tc>
          <w:tcPr>
            <w:tcW w:w="4570" w:type="dxa"/>
            <w:hideMark/>
          </w:tcPr>
          <w:p w:rsidR="00986733" w:rsidRDefault="00986733" w:rsidP="00E411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___._____.2021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069" w:type="dxa"/>
            <w:hideMark/>
          </w:tcPr>
          <w:p w:rsidR="00986733" w:rsidRDefault="00986733" w:rsidP="00E411A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Хуст</w:t>
            </w:r>
          </w:p>
        </w:tc>
      </w:tr>
    </w:tbl>
    <w:p w:rsidR="00986733" w:rsidRDefault="00986733" w:rsidP="00986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AC3" w:rsidRDefault="00DE2AC3" w:rsidP="00DE2AC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Про забезпечення базових потреб </w:t>
      </w:r>
    </w:p>
    <w:p w:rsidR="002B6D1B" w:rsidRDefault="00315DBD" w:rsidP="002B6D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внутрішньо</w:t>
      </w:r>
      <w:r w:rsidR="00DE2AC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переміщених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та /або евакуйованих </w:t>
      </w:r>
      <w:r w:rsidR="00DE2AC3">
        <w:rPr>
          <w:b/>
          <w:bCs/>
          <w:color w:val="000000"/>
          <w:sz w:val="28"/>
          <w:szCs w:val="28"/>
          <w:bdr w:val="none" w:sz="0" w:space="0" w:color="auto" w:frame="1"/>
        </w:rPr>
        <w:t>осіб</w:t>
      </w:r>
      <w:r w:rsidR="004174B2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DE2AC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B6D1B" w:rsidRDefault="002A35F8" w:rsidP="002B6D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що тимчасово розміщуються </w:t>
      </w:r>
      <w:r w:rsidRPr="009A5AC5">
        <w:rPr>
          <w:b/>
          <w:sz w:val="28"/>
          <w:szCs w:val="28"/>
        </w:rPr>
        <w:t xml:space="preserve"> </w:t>
      </w:r>
      <w:r w:rsidR="002B6D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у закладах освіти, </w:t>
      </w:r>
    </w:p>
    <w:p w:rsidR="002B6D1B" w:rsidRDefault="002B6D1B" w:rsidP="002B6D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які фінансуються з бюджету </w:t>
      </w:r>
    </w:p>
    <w:p w:rsidR="00DE2AC3" w:rsidRDefault="002B6D1B" w:rsidP="002B6D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Хустської міської територіальної громади</w:t>
      </w:r>
    </w:p>
    <w:p w:rsidR="00DE2AC3" w:rsidRDefault="00DE2AC3" w:rsidP="00DE2AC3">
      <w:pPr>
        <w:shd w:val="clear" w:color="auto" w:fill="FFFFFF"/>
        <w:ind w:right="14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E2AC3" w:rsidRDefault="00DE2AC3" w:rsidP="00DE2A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AC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Конституцією України, відповідно до статей 34, 38, 52, частини шостої статті 59 Закону України «Про місцеве самоврядування в Україні», </w:t>
      </w:r>
      <w:r w:rsidR="002B6D1B">
        <w:rPr>
          <w:rFonts w:ascii="Times New Roman" w:hAnsi="Times New Roman" w:cs="Times New Roman"/>
          <w:sz w:val="28"/>
          <w:szCs w:val="28"/>
          <w:lang w:val="uk-UA"/>
        </w:rPr>
        <w:t xml:space="preserve">статтею 8 Закону України «Про правовий режим воєнного стану» </w:t>
      </w:r>
      <w:r w:rsidRPr="00DE2AC3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Указ Президента України, затвердженого Законом України 24.02.2022 року № 2102 «Про затвердження Указу Президента України «Про введення воєнного стану в Україні», </w:t>
      </w:r>
      <w:r w:rsidR="005A5C8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Хустської районної військової адміністрації від 28.02.2022 року №5 «Про підготовку закладів загальної середньої освіти, заклади дошкільної загальної освіти, заклади фахової перед вищої освіти до прийому внутрішньо переміщених осіб», </w:t>
      </w:r>
      <w:r w:rsidRPr="00DE2AC3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5A5C89">
        <w:rPr>
          <w:rFonts w:ascii="Times New Roman" w:hAnsi="Times New Roman" w:cs="Times New Roman"/>
          <w:sz w:val="28"/>
          <w:szCs w:val="28"/>
          <w:lang w:val="uk-UA"/>
        </w:rPr>
        <w:t>забезпечення базових потреб</w:t>
      </w:r>
      <w:r w:rsidR="007A692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E2AC3">
        <w:rPr>
          <w:rFonts w:ascii="Times New Roman" w:hAnsi="Times New Roman" w:cs="Times New Roman"/>
          <w:sz w:val="28"/>
          <w:szCs w:val="28"/>
          <w:lang w:val="uk-UA"/>
        </w:rPr>
        <w:t>соціального захисту вимушено переміщених осіб, які прибули з інших областей, де ведуться бойові дії,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виконавчий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 Хустської міської ради,   </w:t>
      </w:r>
    </w:p>
    <w:p w:rsidR="00DE2AC3" w:rsidRDefault="00DE2AC3" w:rsidP="00DE2AC3">
      <w:pPr>
        <w:pStyle w:val="2"/>
        <w:shd w:val="clear" w:color="auto" w:fill="FFFFFF"/>
        <w:tabs>
          <w:tab w:val="left" w:pos="851"/>
        </w:tabs>
        <w:spacing w:before="0" w:beforeAutospacing="0" w:after="0" w:afterAutospacing="0" w:line="34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DB1394" w:rsidRPr="00E86C37" w:rsidRDefault="00DB1394" w:rsidP="00E86C37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C37">
        <w:rPr>
          <w:rFonts w:ascii="Times New Roman" w:hAnsi="Times New Roman" w:cs="Times New Roman"/>
          <w:sz w:val="28"/>
          <w:szCs w:val="28"/>
        </w:rPr>
        <w:t xml:space="preserve">Затвердити порядок організації харчування </w:t>
      </w:r>
      <w:r w:rsidR="00E86C37" w:rsidRPr="00E86C37">
        <w:rPr>
          <w:rFonts w:ascii="Times New Roman" w:hAnsi="Times New Roman" w:cs="Times New Roman"/>
          <w:sz w:val="28"/>
          <w:szCs w:val="28"/>
        </w:rPr>
        <w:t>внутрішньо переміщених та /або евакуйованих  осіб</w:t>
      </w:r>
      <w:r w:rsidR="004174B2">
        <w:rPr>
          <w:rFonts w:ascii="Times New Roman" w:hAnsi="Times New Roman" w:cs="Times New Roman"/>
          <w:sz w:val="28"/>
          <w:szCs w:val="28"/>
        </w:rPr>
        <w:t>,</w:t>
      </w:r>
      <w:r w:rsidR="00E86C37" w:rsidRPr="00E86C37">
        <w:rPr>
          <w:rFonts w:ascii="Times New Roman" w:hAnsi="Times New Roman" w:cs="Times New Roman"/>
          <w:sz w:val="28"/>
          <w:szCs w:val="28"/>
        </w:rPr>
        <w:t xml:space="preserve"> розміщених у закладах освіти, які фінансуються з  бюджету Хустської міської територіальної громади </w:t>
      </w:r>
    </w:p>
    <w:p w:rsidR="00DE2AC3" w:rsidRDefault="00DE2AC3" w:rsidP="00DE2AC3">
      <w:pPr>
        <w:pStyle w:val="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345" w:lineRule="atLeast"/>
        <w:ind w:left="0" w:right="141" w:firstLine="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виконанням цього рішення покласти на </w:t>
      </w:r>
      <w:r w:rsidR="00B579D3">
        <w:rPr>
          <w:b w:val="0"/>
          <w:sz w:val="28"/>
          <w:szCs w:val="28"/>
        </w:rPr>
        <w:t xml:space="preserve">заступника міського голови </w:t>
      </w:r>
      <w:proofErr w:type="spellStart"/>
      <w:r w:rsidR="00B579D3">
        <w:rPr>
          <w:b w:val="0"/>
          <w:sz w:val="28"/>
          <w:szCs w:val="28"/>
        </w:rPr>
        <w:t>Сабадоша</w:t>
      </w:r>
      <w:proofErr w:type="spellEnd"/>
      <w:r w:rsidR="00B579D3">
        <w:rPr>
          <w:b w:val="0"/>
          <w:sz w:val="28"/>
          <w:szCs w:val="28"/>
        </w:rPr>
        <w:t xml:space="preserve"> В.М., </w:t>
      </w:r>
      <w:r>
        <w:rPr>
          <w:b w:val="0"/>
          <w:sz w:val="28"/>
          <w:szCs w:val="28"/>
        </w:rPr>
        <w:t>ке</w:t>
      </w:r>
      <w:r w:rsidR="00374747">
        <w:rPr>
          <w:b w:val="0"/>
          <w:sz w:val="28"/>
          <w:szCs w:val="28"/>
        </w:rPr>
        <w:t xml:space="preserve">руючого справами  </w:t>
      </w:r>
      <w:proofErr w:type="spellStart"/>
      <w:r w:rsidR="00374747">
        <w:rPr>
          <w:b w:val="0"/>
          <w:sz w:val="28"/>
          <w:szCs w:val="28"/>
        </w:rPr>
        <w:t>Маханець</w:t>
      </w:r>
      <w:proofErr w:type="spellEnd"/>
      <w:r w:rsidR="00374747">
        <w:rPr>
          <w:b w:val="0"/>
          <w:sz w:val="28"/>
          <w:szCs w:val="28"/>
        </w:rPr>
        <w:t xml:space="preserve"> Г.В., </w:t>
      </w:r>
      <w:r>
        <w:rPr>
          <w:b w:val="0"/>
          <w:sz w:val="28"/>
          <w:szCs w:val="28"/>
        </w:rPr>
        <w:t xml:space="preserve">начальника управління освіти, релігій та у справах національностей виконавчого комітету Хустської міської ради  </w:t>
      </w:r>
      <w:proofErr w:type="spellStart"/>
      <w:r w:rsidR="00DB1394">
        <w:rPr>
          <w:b w:val="0"/>
          <w:sz w:val="28"/>
          <w:szCs w:val="28"/>
        </w:rPr>
        <w:t>Калинич</w:t>
      </w:r>
      <w:proofErr w:type="spellEnd"/>
      <w:r w:rsidR="00DB1394">
        <w:rPr>
          <w:b w:val="0"/>
          <w:sz w:val="28"/>
          <w:szCs w:val="28"/>
        </w:rPr>
        <w:t xml:space="preserve"> О.В</w:t>
      </w:r>
      <w:r w:rsidR="009B4011">
        <w:rPr>
          <w:b w:val="0"/>
          <w:sz w:val="28"/>
          <w:szCs w:val="28"/>
        </w:rPr>
        <w:t xml:space="preserve">. </w:t>
      </w:r>
    </w:p>
    <w:p w:rsidR="00DE2AC3" w:rsidRDefault="00DE2AC3" w:rsidP="00DE2AC3">
      <w:pPr>
        <w:pStyle w:val="2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 w:line="345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E2AC3" w:rsidRDefault="00DE2AC3" w:rsidP="00DE2AC3">
      <w:pPr>
        <w:pStyle w:val="2"/>
        <w:shd w:val="clear" w:color="auto" w:fill="FFFFFF"/>
        <w:spacing w:before="0" w:beforeAutospacing="0" w:after="0" w:afterAutospacing="0" w:line="345" w:lineRule="atLeast"/>
        <w:jc w:val="both"/>
        <w:rPr>
          <w:b w:val="0"/>
          <w:sz w:val="28"/>
          <w:szCs w:val="28"/>
        </w:rPr>
      </w:pPr>
    </w:p>
    <w:p w:rsidR="00DE2AC3" w:rsidRDefault="00DE2AC3" w:rsidP="00DE2AC3">
      <w:pPr>
        <w:jc w:val="both"/>
        <w:rPr>
          <w:rFonts w:ascii="Times New Roman" w:hAnsi="Times New Roman" w:cs="Times New Roman"/>
        </w:rPr>
      </w:pPr>
    </w:p>
    <w:p w:rsidR="00DE2AC3" w:rsidRDefault="00DE2AC3" w:rsidP="00DE2AC3">
      <w:pPr>
        <w:jc w:val="both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МІСЬКИЙ ГОЛОВА                                                    Володимир КАЩУК</w:t>
      </w:r>
    </w:p>
    <w:p w:rsidR="00DE2AC3" w:rsidRDefault="00DE2AC3" w:rsidP="00DE2AC3"/>
    <w:p w:rsidR="00047862" w:rsidRDefault="00047862">
      <w:pPr>
        <w:sectPr w:rsidR="00047862" w:rsidSect="000F4ED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54E43" w:rsidRDefault="00854E43" w:rsidP="00854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E43" w:rsidRPr="0077538A" w:rsidRDefault="00854E43" w:rsidP="00854E43">
      <w:pPr>
        <w:spacing w:after="0" w:line="240" w:lineRule="auto"/>
        <w:ind w:right="-365"/>
        <w:jc w:val="right"/>
        <w:rPr>
          <w:rFonts w:ascii="Times New Roman" w:hAnsi="Times New Roman"/>
          <w:sz w:val="20"/>
          <w:szCs w:val="20"/>
        </w:rPr>
      </w:pPr>
      <w:r w:rsidRPr="0077538A">
        <w:rPr>
          <w:rFonts w:ascii="Times New Roman" w:hAnsi="Times New Roman"/>
          <w:sz w:val="20"/>
          <w:szCs w:val="20"/>
        </w:rPr>
        <w:t>Додаток</w:t>
      </w:r>
      <w:r w:rsidR="00374747">
        <w:rPr>
          <w:rFonts w:ascii="Times New Roman" w:hAnsi="Times New Roman"/>
          <w:sz w:val="20"/>
          <w:szCs w:val="20"/>
        </w:rPr>
        <w:t xml:space="preserve"> 1</w:t>
      </w:r>
    </w:p>
    <w:p w:rsidR="00854E43" w:rsidRDefault="00854E43" w:rsidP="00854E43">
      <w:pPr>
        <w:spacing w:after="0" w:line="240" w:lineRule="auto"/>
        <w:ind w:right="-365"/>
        <w:jc w:val="right"/>
        <w:rPr>
          <w:rFonts w:ascii="Times New Roman" w:hAnsi="Times New Roman"/>
          <w:sz w:val="20"/>
          <w:szCs w:val="20"/>
        </w:rPr>
      </w:pPr>
      <w:r w:rsidRPr="0077538A">
        <w:rPr>
          <w:rFonts w:ascii="Times New Roman" w:hAnsi="Times New Roman"/>
          <w:sz w:val="20"/>
          <w:szCs w:val="20"/>
        </w:rPr>
        <w:t xml:space="preserve"> до </w:t>
      </w:r>
      <w:r>
        <w:rPr>
          <w:rFonts w:ascii="Times New Roman" w:hAnsi="Times New Roman"/>
          <w:sz w:val="20"/>
          <w:szCs w:val="20"/>
        </w:rPr>
        <w:t xml:space="preserve">Рішення виконавчого комітету Хустської міської ради </w:t>
      </w:r>
    </w:p>
    <w:p w:rsidR="00854E43" w:rsidRPr="0077538A" w:rsidRDefault="00854E43" w:rsidP="00854E43">
      <w:pPr>
        <w:spacing w:after="0" w:line="240" w:lineRule="auto"/>
        <w:ind w:right="-36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від ________________2022 року №______</w:t>
      </w:r>
    </w:p>
    <w:p w:rsidR="00854E43" w:rsidRDefault="00854E43" w:rsidP="00854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E43" w:rsidRDefault="00854E43" w:rsidP="00854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C18" w:rsidRDefault="00854E43" w:rsidP="009A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4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54E43" w:rsidRDefault="00854E43" w:rsidP="009A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43">
        <w:rPr>
          <w:rFonts w:ascii="Times New Roman" w:hAnsi="Times New Roman" w:cs="Times New Roman"/>
          <w:b/>
          <w:sz w:val="28"/>
          <w:szCs w:val="28"/>
        </w:rPr>
        <w:t xml:space="preserve">організації </w:t>
      </w:r>
      <w:r w:rsidR="009A5AC5" w:rsidRPr="009A5AC5">
        <w:rPr>
          <w:rFonts w:ascii="Times New Roman" w:hAnsi="Times New Roman" w:cs="Times New Roman"/>
          <w:b/>
          <w:sz w:val="28"/>
          <w:szCs w:val="28"/>
        </w:rPr>
        <w:t>харчування внутрішньо переміщених та /або евакуйованих  осіб</w:t>
      </w:r>
      <w:r w:rsidR="007A6A1E">
        <w:rPr>
          <w:rFonts w:ascii="Times New Roman" w:hAnsi="Times New Roman" w:cs="Times New Roman"/>
          <w:b/>
          <w:sz w:val="28"/>
          <w:szCs w:val="28"/>
        </w:rPr>
        <w:t>,</w:t>
      </w:r>
      <w:r w:rsidR="009A5AC5" w:rsidRPr="009A5A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35F8">
        <w:rPr>
          <w:rFonts w:ascii="Times New Roman" w:hAnsi="Times New Roman" w:cs="Times New Roman"/>
          <w:b/>
          <w:sz w:val="28"/>
          <w:szCs w:val="28"/>
        </w:rPr>
        <w:t xml:space="preserve">що тимчасово розміщуються </w:t>
      </w:r>
      <w:r w:rsidR="009A5AC5" w:rsidRPr="009A5AC5">
        <w:rPr>
          <w:rFonts w:ascii="Times New Roman" w:hAnsi="Times New Roman" w:cs="Times New Roman"/>
          <w:b/>
          <w:sz w:val="28"/>
          <w:szCs w:val="28"/>
        </w:rPr>
        <w:t xml:space="preserve"> у закладах освіти, які фінансуються з  бюджету Хустської міської територіальної громади</w:t>
      </w:r>
    </w:p>
    <w:p w:rsidR="00854E43" w:rsidRPr="00854E43" w:rsidRDefault="009A5AC5" w:rsidP="009A5AC5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D4CD5" w:rsidRDefault="00854E43" w:rsidP="00005C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6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A5AC5" w:rsidRPr="00E86C37">
        <w:rPr>
          <w:rFonts w:ascii="Times New Roman" w:hAnsi="Times New Roman" w:cs="Times New Roman"/>
          <w:sz w:val="28"/>
          <w:szCs w:val="28"/>
        </w:rPr>
        <w:t>організації харчування внутрішньо переміщених та /або евакуйованих  осіб</w:t>
      </w:r>
      <w:r w:rsidR="007A6A1E">
        <w:rPr>
          <w:rFonts w:ascii="Times New Roman" w:hAnsi="Times New Roman" w:cs="Times New Roman"/>
          <w:sz w:val="28"/>
          <w:szCs w:val="28"/>
        </w:rPr>
        <w:t>,</w:t>
      </w:r>
      <w:r w:rsidR="009A5AC5" w:rsidRPr="00E86C37">
        <w:rPr>
          <w:rFonts w:ascii="Times New Roman" w:hAnsi="Times New Roman" w:cs="Times New Roman"/>
          <w:sz w:val="28"/>
          <w:szCs w:val="28"/>
        </w:rPr>
        <w:t xml:space="preserve">  розміщених у закладах освіти, які фінансуються з  бюджету Хустської міської територіальної громади </w:t>
      </w:r>
      <w:r w:rsidRPr="000C6768">
        <w:rPr>
          <w:rFonts w:ascii="Times New Roman" w:hAnsi="Times New Roman" w:cs="Times New Roman"/>
          <w:sz w:val="28"/>
          <w:szCs w:val="28"/>
        </w:rPr>
        <w:t xml:space="preserve">(далі - Порядок) </w:t>
      </w:r>
      <w:r w:rsidR="003D4CD5">
        <w:rPr>
          <w:rFonts w:ascii="Times New Roman" w:hAnsi="Times New Roman" w:cs="Times New Roman"/>
          <w:sz w:val="28"/>
          <w:szCs w:val="28"/>
        </w:rPr>
        <w:t xml:space="preserve">розроблено з метою виконання </w:t>
      </w:r>
      <w:r w:rsidR="00C81153">
        <w:rPr>
          <w:rFonts w:ascii="Times New Roman" w:hAnsi="Times New Roman" w:cs="Times New Roman"/>
          <w:sz w:val="28"/>
          <w:szCs w:val="28"/>
        </w:rPr>
        <w:t>вимог</w:t>
      </w:r>
      <w:r w:rsidR="003D4CD5">
        <w:rPr>
          <w:rFonts w:ascii="Times New Roman" w:hAnsi="Times New Roman" w:cs="Times New Roman"/>
          <w:sz w:val="28"/>
          <w:szCs w:val="28"/>
        </w:rPr>
        <w:t xml:space="preserve"> Хустської районної </w:t>
      </w:r>
      <w:r w:rsidR="007A6A1E">
        <w:rPr>
          <w:rFonts w:ascii="Times New Roman" w:hAnsi="Times New Roman" w:cs="Times New Roman"/>
          <w:sz w:val="28"/>
          <w:szCs w:val="28"/>
        </w:rPr>
        <w:t>військової</w:t>
      </w:r>
      <w:r w:rsidR="003D4CD5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7A6A1E">
        <w:rPr>
          <w:rFonts w:ascii="Times New Roman" w:hAnsi="Times New Roman" w:cs="Times New Roman"/>
          <w:sz w:val="28"/>
          <w:szCs w:val="28"/>
        </w:rPr>
        <w:t>,</w:t>
      </w:r>
      <w:r w:rsidR="003D4CD5">
        <w:rPr>
          <w:rFonts w:ascii="Times New Roman" w:hAnsi="Times New Roman" w:cs="Times New Roman"/>
          <w:sz w:val="28"/>
          <w:szCs w:val="28"/>
        </w:rPr>
        <w:t xml:space="preserve">  </w:t>
      </w:r>
      <w:r w:rsidR="00C81153">
        <w:rPr>
          <w:rFonts w:ascii="Times New Roman" w:hAnsi="Times New Roman" w:cs="Times New Roman"/>
          <w:sz w:val="28"/>
          <w:szCs w:val="28"/>
        </w:rPr>
        <w:t xml:space="preserve">визначених </w:t>
      </w:r>
      <w:r w:rsidR="003D4CD5">
        <w:rPr>
          <w:rFonts w:ascii="Times New Roman" w:hAnsi="Times New Roman" w:cs="Times New Roman"/>
          <w:sz w:val="28"/>
          <w:szCs w:val="28"/>
        </w:rPr>
        <w:t>відповідно до розпорядження  від 28.02.2022 року №5 «Про підготовку закладів загальної середньої освіти, заклади дошкільної загальної освіти, заклади фахової перед вищої освіти до прийому внутрішньо переміщених осіб».</w:t>
      </w:r>
    </w:p>
    <w:p w:rsidR="00854E43" w:rsidRPr="000C6768" w:rsidRDefault="003D4CD5" w:rsidP="00005C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Цей Порядок </w:t>
      </w:r>
      <w:r w:rsidR="00854E43" w:rsidRPr="000C6768">
        <w:rPr>
          <w:rFonts w:ascii="Times New Roman" w:hAnsi="Times New Roman" w:cs="Times New Roman"/>
          <w:sz w:val="28"/>
          <w:szCs w:val="28"/>
        </w:rPr>
        <w:t xml:space="preserve">визначає організаційні засади забезпечення осіб, які прибули з інших областей, де ведуться бойові дії, </w:t>
      </w:r>
      <w:r>
        <w:rPr>
          <w:rFonts w:ascii="Times New Roman" w:hAnsi="Times New Roman" w:cs="Times New Roman"/>
          <w:sz w:val="28"/>
          <w:szCs w:val="28"/>
        </w:rPr>
        <w:t xml:space="preserve">та розміщені  в місцях </w:t>
      </w:r>
      <w:r w:rsidR="00854E43" w:rsidRPr="000C6768">
        <w:rPr>
          <w:rFonts w:ascii="Times New Roman" w:hAnsi="Times New Roman" w:cs="Times New Roman"/>
          <w:sz w:val="28"/>
          <w:szCs w:val="28"/>
        </w:rPr>
        <w:t>згідно з переліком закладів тимчасового розміщення вимушено переміщених осіб</w:t>
      </w:r>
      <w:r>
        <w:rPr>
          <w:rFonts w:ascii="Times New Roman" w:hAnsi="Times New Roman" w:cs="Times New Roman"/>
          <w:sz w:val="28"/>
          <w:szCs w:val="28"/>
        </w:rPr>
        <w:t xml:space="preserve"> Хустської міської територіальної громади,</w:t>
      </w:r>
      <w:r w:rsidR="00854E43" w:rsidRPr="000C6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харчуванням.</w:t>
      </w:r>
    </w:p>
    <w:p w:rsidR="00DD1BCC" w:rsidRDefault="009A5AC5" w:rsidP="00005C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E43" w:rsidRPr="00854E43">
        <w:rPr>
          <w:rFonts w:ascii="Times New Roman" w:hAnsi="Times New Roman" w:cs="Times New Roman"/>
          <w:sz w:val="28"/>
          <w:szCs w:val="28"/>
        </w:rPr>
        <w:t xml:space="preserve">. Порядок розроблено відповідно до Конституції України, законів України «Про місцеве самоврядування в Україні», «Про державні соціальні стандарти та державні соціальні гарантії». </w:t>
      </w:r>
    </w:p>
    <w:p w:rsidR="00706DFB" w:rsidRDefault="009A5AC5" w:rsidP="00005C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E43" w:rsidRPr="00854E43">
        <w:rPr>
          <w:rFonts w:ascii="Times New Roman" w:hAnsi="Times New Roman" w:cs="Times New Roman"/>
          <w:sz w:val="28"/>
          <w:szCs w:val="28"/>
        </w:rPr>
        <w:t xml:space="preserve">. Метою впровадження </w:t>
      </w:r>
      <w:r w:rsidRPr="00E86C37">
        <w:rPr>
          <w:rFonts w:ascii="Times New Roman" w:hAnsi="Times New Roman" w:cs="Times New Roman"/>
          <w:sz w:val="28"/>
          <w:szCs w:val="28"/>
        </w:rPr>
        <w:t>організації харчування внутрішньо переміщених та /або евакуйованих  осіб</w:t>
      </w:r>
      <w:r w:rsidR="007A6A1E">
        <w:rPr>
          <w:rFonts w:ascii="Times New Roman" w:hAnsi="Times New Roman" w:cs="Times New Roman"/>
          <w:sz w:val="28"/>
          <w:szCs w:val="28"/>
        </w:rPr>
        <w:t>,</w:t>
      </w:r>
      <w:r w:rsidRPr="00E86C37">
        <w:rPr>
          <w:rFonts w:ascii="Times New Roman" w:hAnsi="Times New Roman" w:cs="Times New Roman"/>
          <w:sz w:val="28"/>
          <w:szCs w:val="28"/>
        </w:rPr>
        <w:t xml:space="preserve">  розміщених у закладах освіти, які фінансуються з  бюджету Хустської міської територіальної громади</w:t>
      </w:r>
      <w:r w:rsidR="007A6A1E">
        <w:rPr>
          <w:rFonts w:ascii="Times New Roman" w:hAnsi="Times New Roman" w:cs="Times New Roman"/>
          <w:sz w:val="28"/>
          <w:szCs w:val="28"/>
        </w:rPr>
        <w:t>,</w:t>
      </w:r>
      <w:r w:rsidRPr="00E86C37">
        <w:rPr>
          <w:rFonts w:ascii="Times New Roman" w:hAnsi="Times New Roman" w:cs="Times New Roman"/>
          <w:sz w:val="28"/>
          <w:szCs w:val="28"/>
        </w:rPr>
        <w:t xml:space="preserve"> </w:t>
      </w:r>
      <w:r w:rsidR="00854E43" w:rsidRPr="00854E43">
        <w:rPr>
          <w:rFonts w:ascii="Times New Roman" w:hAnsi="Times New Roman" w:cs="Times New Roman"/>
          <w:sz w:val="28"/>
          <w:szCs w:val="28"/>
        </w:rPr>
        <w:t xml:space="preserve">є комплексне розв’язання проблем забезпечення фінансування організації харчування та створення умов для всебічного забезпечення базових потреб осіб, які прибули з інших областей, де ведуться бойові дії. </w:t>
      </w:r>
    </w:p>
    <w:p w:rsidR="00C81153" w:rsidRDefault="009A5AC5" w:rsidP="00005C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4E43" w:rsidRPr="00854E43">
        <w:rPr>
          <w:rFonts w:ascii="Times New Roman" w:hAnsi="Times New Roman" w:cs="Times New Roman"/>
          <w:sz w:val="28"/>
          <w:szCs w:val="28"/>
        </w:rPr>
        <w:t xml:space="preserve">. </w:t>
      </w:r>
      <w:r w:rsidR="003D4CD5">
        <w:rPr>
          <w:rFonts w:ascii="Times New Roman" w:hAnsi="Times New Roman" w:cs="Times New Roman"/>
          <w:sz w:val="28"/>
          <w:szCs w:val="28"/>
        </w:rPr>
        <w:t xml:space="preserve"> </w:t>
      </w:r>
      <w:r w:rsidR="00C81153">
        <w:rPr>
          <w:rFonts w:ascii="Times New Roman" w:hAnsi="Times New Roman" w:cs="Times New Roman"/>
          <w:sz w:val="28"/>
          <w:szCs w:val="28"/>
        </w:rPr>
        <w:t xml:space="preserve">Утримання та забезпечення харчуванням  </w:t>
      </w:r>
      <w:r w:rsidR="008C41AF">
        <w:rPr>
          <w:rFonts w:ascii="Times New Roman" w:hAnsi="Times New Roman" w:cs="Times New Roman"/>
          <w:sz w:val="28"/>
          <w:szCs w:val="28"/>
        </w:rPr>
        <w:t xml:space="preserve">внутрішньо </w:t>
      </w:r>
      <w:r w:rsidR="008C41AF" w:rsidRPr="00E86C37">
        <w:rPr>
          <w:rFonts w:ascii="Times New Roman" w:hAnsi="Times New Roman" w:cs="Times New Roman"/>
          <w:sz w:val="28"/>
          <w:szCs w:val="28"/>
        </w:rPr>
        <w:t>переміщених та /або евакуйованих  осіб</w:t>
      </w:r>
      <w:r w:rsidR="007A6A1E">
        <w:rPr>
          <w:rFonts w:ascii="Times New Roman" w:hAnsi="Times New Roman" w:cs="Times New Roman"/>
          <w:sz w:val="28"/>
          <w:szCs w:val="28"/>
        </w:rPr>
        <w:t>,</w:t>
      </w:r>
      <w:r w:rsidR="008C41AF">
        <w:rPr>
          <w:rFonts w:ascii="Times New Roman" w:hAnsi="Times New Roman" w:cs="Times New Roman"/>
          <w:sz w:val="28"/>
          <w:szCs w:val="28"/>
        </w:rPr>
        <w:t xml:space="preserve"> </w:t>
      </w:r>
      <w:r w:rsidR="008C41AF" w:rsidRPr="00E86C37">
        <w:rPr>
          <w:rFonts w:ascii="Times New Roman" w:hAnsi="Times New Roman" w:cs="Times New Roman"/>
          <w:sz w:val="28"/>
          <w:szCs w:val="28"/>
        </w:rPr>
        <w:t>розміщених у закладах освіти, які фінансуються з  бюджету Хустської міської територіальної громади</w:t>
      </w:r>
      <w:r w:rsidR="00C81153">
        <w:rPr>
          <w:rFonts w:ascii="Times New Roman" w:hAnsi="Times New Roman" w:cs="Times New Roman"/>
          <w:sz w:val="28"/>
          <w:szCs w:val="28"/>
        </w:rPr>
        <w:t xml:space="preserve"> </w:t>
      </w:r>
      <w:r w:rsidR="008C41AF">
        <w:rPr>
          <w:rFonts w:ascii="Times New Roman" w:hAnsi="Times New Roman" w:cs="Times New Roman"/>
          <w:sz w:val="28"/>
          <w:szCs w:val="28"/>
        </w:rPr>
        <w:t xml:space="preserve">відповідно до вимог розпорядження </w:t>
      </w:r>
      <w:r w:rsidR="00C81153">
        <w:rPr>
          <w:rFonts w:ascii="Times New Roman" w:hAnsi="Times New Roman" w:cs="Times New Roman"/>
          <w:sz w:val="28"/>
          <w:szCs w:val="28"/>
        </w:rPr>
        <w:t xml:space="preserve">Хустської районної </w:t>
      </w:r>
      <w:r w:rsidR="008C41AF">
        <w:rPr>
          <w:rFonts w:ascii="Times New Roman" w:hAnsi="Times New Roman" w:cs="Times New Roman"/>
          <w:sz w:val="28"/>
          <w:szCs w:val="28"/>
        </w:rPr>
        <w:t>військової</w:t>
      </w:r>
      <w:r w:rsidR="00C81153">
        <w:rPr>
          <w:rFonts w:ascii="Times New Roman" w:hAnsi="Times New Roman" w:cs="Times New Roman"/>
          <w:sz w:val="28"/>
          <w:szCs w:val="28"/>
        </w:rPr>
        <w:t xml:space="preserve"> адміністра</w:t>
      </w:r>
      <w:r>
        <w:rPr>
          <w:rFonts w:ascii="Times New Roman" w:hAnsi="Times New Roman" w:cs="Times New Roman"/>
          <w:sz w:val="28"/>
          <w:szCs w:val="28"/>
        </w:rPr>
        <w:t xml:space="preserve">ції  </w:t>
      </w:r>
      <w:r w:rsidR="00C81153">
        <w:rPr>
          <w:rFonts w:ascii="Times New Roman" w:hAnsi="Times New Roman" w:cs="Times New Roman"/>
          <w:sz w:val="28"/>
          <w:szCs w:val="28"/>
        </w:rPr>
        <w:t xml:space="preserve">від 28.02.2022 року №5 «Про підготовку закладів загальної середньої освіти, заклади дошкільної загальної освіти, заклади фахової перед вищої освіти до прийому внутрішньо переміщених осіб» здійснюється </w:t>
      </w:r>
      <w:r w:rsidR="00C81153" w:rsidRPr="007A1CE7">
        <w:rPr>
          <w:rFonts w:ascii="Times New Roman" w:hAnsi="Times New Roman" w:cs="Times New Roman"/>
          <w:sz w:val="28"/>
          <w:szCs w:val="28"/>
        </w:rPr>
        <w:t xml:space="preserve"> на базі </w:t>
      </w:r>
      <w:r w:rsidR="001D61FB">
        <w:rPr>
          <w:rFonts w:ascii="Times New Roman" w:hAnsi="Times New Roman" w:cs="Times New Roman"/>
          <w:sz w:val="28"/>
          <w:szCs w:val="28"/>
        </w:rPr>
        <w:t xml:space="preserve">закладів освіти </w:t>
      </w:r>
      <w:r w:rsidR="001D61FB" w:rsidRPr="000C6768">
        <w:rPr>
          <w:rFonts w:ascii="Times New Roman" w:hAnsi="Times New Roman" w:cs="Times New Roman"/>
          <w:sz w:val="28"/>
          <w:szCs w:val="28"/>
        </w:rPr>
        <w:t>згідно з переліком закладів</w:t>
      </w:r>
      <w:r w:rsidR="007A6A1E">
        <w:rPr>
          <w:rFonts w:ascii="Times New Roman" w:hAnsi="Times New Roman" w:cs="Times New Roman"/>
          <w:sz w:val="28"/>
          <w:szCs w:val="28"/>
        </w:rPr>
        <w:t>,</w:t>
      </w:r>
      <w:r w:rsidR="001D61FB" w:rsidRPr="000C6768">
        <w:rPr>
          <w:rFonts w:ascii="Times New Roman" w:hAnsi="Times New Roman" w:cs="Times New Roman"/>
          <w:sz w:val="28"/>
          <w:szCs w:val="28"/>
        </w:rPr>
        <w:t xml:space="preserve"> </w:t>
      </w:r>
      <w:r w:rsidR="00F41B95">
        <w:rPr>
          <w:rFonts w:ascii="Times New Roman" w:hAnsi="Times New Roman" w:cs="Times New Roman"/>
          <w:sz w:val="28"/>
          <w:szCs w:val="28"/>
        </w:rPr>
        <w:t xml:space="preserve">затвердженим Розпорядженням </w:t>
      </w:r>
      <w:r w:rsidR="00B579D3">
        <w:rPr>
          <w:rFonts w:ascii="Times New Roman" w:hAnsi="Times New Roman" w:cs="Times New Roman"/>
          <w:sz w:val="28"/>
          <w:szCs w:val="28"/>
        </w:rPr>
        <w:t xml:space="preserve"> міського </w:t>
      </w:r>
      <w:r w:rsidR="00F41B95">
        <w:rPr>
          <w:rFonts w:ascii="Times New Roman" w:hAnsi="Times New Roman" w:cs="Times New Roman"/>
          <w:sz w:val="28"/>
          <w:szCs w:val="28"/>
        </w:rPr>
        <w:t>голови</w:t>
      </w:r>
      <w:r w:rsidR="001D61FB">
        <w:rPr>
          <w:rFonts w:ascii="Times New Roman" w:hAnsi="Times New Roman" w:cs="Times New Roman"/>
          <w:sz w:val="28"/>
          <w:szCs w:val="28"/>
        </w:rPr>
        <w:t>.</w:t>
      </w:r>
    </w:p>
    <w:p w:rsidR="007A1CE7" w:rsidRDefault="009A5AC5" w:rsidP="007A1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74747">
        <w:rPr>
          <w:rFonts w:ascii="Times New Roman" w:hAnsi="Times New Roman" w:cs="Times New Roman"/>
          <w:sz w:val="28"/>
          <w:szCs w:val="28"/>
        </w:rPr>
        <w:t xml:space="preserve">. </w:t>
      </w:r>
      <w:r w:rsidR="001D61FB">
        <w:rPr>
          <w:rFonts w:ascii="Times New Roman" w:hAnsi="Times New Roman" w:cs="Times New Roman"/>
          <w:sz w:val="28"/>
          <w:szCs w:val="28"/>
        </w:rPr>
        <w:t xml:space="preserve">Метою такої форми організації харчування є </w:t>
      </w:r>
      <w:r w:rsidR="007A1CE7">
        <w:rPr>
          <w:rFonts w:ascii="Times New Roman" w:hAnsi="Times New Roman" w:cs="Times New Roman"/>
          <w:sz w:val="28"/>
          <w:szCs w:val="28"/>
        </w:rPr>
        <w:t>не допущення нераціональних витрат та псування продуктів харчування</w:t>
      </w:r>
      <w:r w:rsidR="00FD3D71">
        <w:rPr>
          <w:rFonts w:ascii="Times New Roman" w:hAnsi="Times New Roman" w:cs="Times New Roman"/>
          <w:sz w:val="28"/>
          <w:szCs w:val="28"/>
        </w:rPr>
        <w:t>,</w:t>
      </w:r>
      <w:r w:rsidR="007A1CE7">
        <w:rPr>
          <w:rFonts w:ascii="Times New Roman" w:hAnsi="Times New Roman" w:cs="Times New Roman"/>
          <w:sz w:val="28"/>
          <w:szCs w:val="28"/>
        </w:rPr>
        <w:t xml:space="preserve"> </w:t>
      </w:r>
      <w:r w:rsidR="00FD3D71">
        <w:rPr>
          <w:rFonts w:ascii="Times New Roman" w:hAnsi="Times New Roman" w:cs="Times New Roman"/>
          <w:sz w:val="28"/>
          <w:szCs w:val="28"/>
        </w:rPr>
        <w:t>наявних у</w:t>
      </w:r>
      <w:r w:rsidR="00C81153">
        <w:rPr>
          <w:rFonts w:ascii="Times New Roman" w:hAnsi="Times New Roman" w:cs="Times New Roman"/>
          <w:sz w:val="28"/>
          <w:szCs w:val="28"/>
        </w:rPr>
        <w:t xml:space="preserve"> закладах освіти Хустської територіальної громади станом на 24.02.2022 року</w:t>
      </w:r>
      <w:r w:rsidR="00FD3D71">
        <w:rPr>
          <w:rFonts w:ascii="Times New Roman" w:hAnsi="Times New Roman" w:cs="Times New Roman"/>
          <w:sz w:val="28"/>
          <w:szCs w:val="28"/>
        </w:rPr>
        <w:t>,</w:t>
      </w:r>
      <w:r w:rsidR="00C81153">
        <w:rPr>
          <w:rFonts w:ascii="Times New Roman" w:hAnsi="Times New Roman" w:cs="Times New Roman"/>
          <w:sz w:val="28"/>
          <w:szCs w:val="28"/>
        </w:rPr>
        <w:t xml:space="preserve"> </w:t>
      </w:r>
      <w:r w:rsidR="007A1CE7">
        <w:rPr>
          <w:rFonts w:ascii="Times New Roman" w:hAnsi="Times New Roman" w:cs="Times New Roman"/>
          <w:sz w:val="28"/>
          <w:szCs w:val="28"/>
        </w:rPr>
        <w:t xml:space="preserve">терміни </w:t>
      </w:r>
      <w:r w:rsidR="007A1CE7" w:rsidRPr="007A1CE7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7A1CE7">
        <w:rPr>
          <w:rFonts w:ascii="Times New Roman" w:hAnsi="Times New Roman" w:cs="Times New Roman"/>
          <w:sz w:val="28"/>
          <w:szCs w:val="28"/>
        </w:rPr>
        <w:t xml:space="preserve">яких можуть пройти, та </w:t>
      </w:r>
      <w:r w:rsidR="001D61FB">
        <w:rPr>
          <w:rFonts w:ascii="Times New Roman" w:hAnsi="Times New Roman" w:cs="Times New Roman"/>
          <w:sz w:val="28"/>
          <w:szCs w:val="28"/>
        </w:rPr>
        <w:t xml:space="preserve">раціональне використання </w:t>
      </w:r>
      <w:r w:rsidR="00DF426F" w:rsidRPr="007A1CE7">
        <w:rPr>
          <w:rFonts w:ascii="Times New Roman" w:hAnsi="Times New Roman" w:cs="Times New Roman"/>
          <w:sz w:val="28"/>
          <w:szCs w:val="28"/>
        </w:rPr>
        <w:t xml:space="preserve"> </w:t>
      </w:r>
      <w:r w:rsidR="001D61FB">
        <w:rPr>
          <w:rFonts w:ascii="Times New Roman" w:hAnsi="Times New Roman" w:cs="Times New Roman"/>
          <w:sz w:val="28"/>
          <w:szCs w:val="28"/>
        </w:rPr>
        <w:t>потужностей</w:t>
      </w:r>
      <w:r w:rsidR="00DF426F" w:rsidRPr="007A1CE7">
        <w:rPr>
          <w:rFonts w:ascii="Times New Roman" w:hAnsi="Times New Roman" w:cs="Times New Roman"/>
          <w:sz w:val="28"/>
          <w:szCs w:val="28"/>
        </w:rPr>
        <w:t xml:space="preserve"> та можливост</w:t>
      </w:r>
      <w:r w:rsidR="001D61FB">
        <w:rPr>
          <w:rFonts w:ascii="Times New Roman" w:hAnsi="Times New Roman" w:cs="Times New Roman"/>
          <w:sz w:val="28"/>
          <w:szCs w:val="28"/>
        </w:rPr>
        <w:t xml:space="preserve">ей закладів освіти </w:t>
      </w:r>
      <w:r w:rsidR="00DF426F" w:rsidRPr="007A1CE7">
        <w:rPr>
          <w:rFonts w:ascii="Times New Roman" w:hAnsi="Times New Roman" w:cs="Times New Roman"/>
          <w:sz w:val="28"/>
          <w:szCs w:val="28"/>
        </w:rPr>
        <w:t xml:space="preserve"> для </w:t>
      </w:r>
      <w:r w:rsidR="00C81153" w:rsidRPr="007A1CE7">
        <w:rPr>
          <w:rFonts w:ascii="Times New Roman" w:hAnsi="Times New Roman" w:cs="Times New Roman"/>
          <w:sz w:val="28"/>
          <w:szCs w:val="28"/>
        </w:rPr>
        <w:t xml:space="preserve">утримання </w:t>
      </w:r>
      <w:r w:rsidR="00C81153">
        <w:rPr>
          <w:rFonts w:ascii="Times New Roman" w:hAnsi="Times New Roman" w:cs="Times New Roman"/>
          <w:sz w:val="28"/>
          <w:szCs w:val="28"/>
        </w:rPr>
        <w:t>таких</w:t>
      </w:r>
      <w:r w:rsidR="00C81153" w:rsidRPr="007A1CE7">
        <w:rPr>
          <w:rFonts w:ascii="Times New Roman" w:hAnsi="Times New Roman" w:cs="Times New Roman"/>
          <w:sz w:val="28"/>
          <w:szCs w:val="28"/>
        </w:rPr>
        <w:t xml:space="preserve"> осіб</w:t>
      </w:r>
      <w:r w:rsidR="00C81153">
        <w:rPr>
          <w:rFonts w:ascii="Times New Roman" w:hAnsi="Times New Roman" w:cs="Times New Roman"/>
          <w:sz w:val="28"/>
          <w:szCs w:val="28"/>
        </w:rPr>
        <w:t xml:space="preserve"> та </w:t>
      </w:r>
      <w:r w:rsidR="00DF426F" w:rsidRPr="007A1CE7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C81153">
        <w:rPr>
          <w:rFonts w:ascii="Times New Roman" w:hAnsi="Times New Roman" w:cs="Times New Roman"/>
          <w:sz w:val="28"/>
          <w:szCs w:val="28"/>
        </w:rPr>
        <w:t xml:space="preserve">їх </w:t>
      </w:r>
      <w:r w:rsidR="00DF426F" w:rsidRPr="007A1CE7">
        <w:rPr>
          <w:rFonts w:ascii="Times New Roman" w:hAnsi="Times New Roman" w:cs="Times New Roman"/>
          <w:sz w:val="28"/>
          <w:szCs w:val="28"/>
        </w:rPr>
        <w:t>харчув</w:t>
      </w:r>
      <w:r w:rsidR="007A1CE7">
        <w:rPr>
          <w:rFonts w:ascii="Times New Roman" w:hAnsi="Times New Roman" w:cs="Times New Roman"/>
          <w:sz w:val="28"/>
          <w:szCs w:val="28"/>
        </w:rPr>
        <w:t xml:space="preserve">анням </w:t>
      </w:r>
      <w:r w:rsidR="001D61FB">
        <w:rPr>
          <w:rFonts w:ascii="Times New Roman" w:hAnsi="Times New Roman" w:cs="Times New Roman"/>
          <w:sz w:val="28"/>
          <w:szCs w:val="28"/>
        </w:rPr>
        <w:t>.</w:t>
      </w:r>
    </w:p>
    <w:p w:rsidR="007A1CE7" w:rsidRPr="009A5AC5" w:rsidRDefault="00C81153" w:rsidP="009A5AC5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C5">
        <w:rPr>
          <w:rFonts w:ascii="Times New Roman" w:hAnsi="Times New Roman" w:cs="Times New Roman"/>
          <w:sz w:val="28"/>
          <w:szCs w:val="28"/>
        </w:rPr>
        <w:t>Для організації утримання та харчування  використовуються продукти харчування</w:t>
      </w:r>
      <w:r w:rsidR="00FD3D71">
        <w:rPr>
          <w:rFonts w:ascii="Times New Roman" w:hAnsi="Times New Roman" w:cs="Times New Roman"/>
          <w:sz w:val="28"/>
          <w:szCs w:val="28"/>
        </w:rPr>
        <w:t>,</w:t>
      </w:r>
      <w:r w:rsidRPr="009A5AC5">
        <w:rPr>
          <w:rFonts w:ascii="Times New Roman" w:hAnsi="Times New Roman" w:cs="Times New Roman"/>
          <w:sz w:val="28"/>
          <w:szCs w:val="28"/>
        </w:rPr>
        <w:t xml:space="preserve"> </w:t>
      </w:r>
      <w:r w:rsidR="001D61FB" w:rsidRPr="009A5AC5">
        <w:rPr>
          <w:rFonts w:ascii="Times New Roman" w:hAnsi="Times New Roman" w:cs="Times New Roman"/>
          <w:sz w:val="28"/>
          <w:szCs w:val="28"/>
        </w:rPr>
        <w:t>наявні в закладах освіти станом на 24.0</w:t>
      </w:r>
      <w:r w:rsidR="009A5AC5">
        <w:rPr>
          <w:rFonts w:ascii="Times New Roman" w:hAnsi="Times New Roman" w:cs="Times New Roman"/>
          <w:sz w:val="28"/>
          <w:szCs w:val="28"/>
        </w:rPr>
        <w:t xml:space="preserve">2.2022 року.  З закладів освіти, що фінансуються з бюджету Хустської територіальної громади, </w:t>
      </w:r>
      <w:r w:rsidR="001D61FB" w:rsidRPr="009A5AC5">
        <w:rPr>
          <w:rFonts w:ascii="Times New Roman" w:hAnsi="Times New Roman" w:cs="Times New Roman"/>
          <w:sz w:val="28"/>
          <w:szCs w:val="28"/>
        </w:rPr>
        <w:t>не внесених до переліку закладів тимчасового розміщення вимушено переміщених осіб</w:t>
      </w:r>
      <w:r w:rsidR="009A5AC5">
        <w:rPr>
          <w:rFonts w:ascii="Times New Roman" w:hAnsi="Times New Roman" w:cs="Times New Roman"/>
          <w:sz w:val="28"/>
          <w:szCs w:val="28"/>
        </w:rPr>
        <w:t>,</w:t>
      </w:r>
      <w:r w:rsidR="001D61FB" w:rsidRPr="009A5AC5">
        <w:rPr>
          <w:rFonts w:ascii="Times New Roman" w:hAnsi="Times New Roman" w:cs="Times New Roman"/>
          <w:sz w:val="28"/>
          <w:szCs w:val="28"/>
        </w:rPr>
        <w:t xml:space="preserve"> </w:t>
      </w:r>
      <w:r w:rsidR="00FD3D71">
        <w:rPr>
          <w:rFonts w:ascii="Times New Roman" w:hAnsi="Times New Roman" w:cs="Times New Roman"/>
          <w:sz w:val="28"/>
          <w:szCs w:val="28"/>
        </w:rPr>
        <w:t>відповідно до</w:t>
      </w:r>
      <w:r w:rsidR="009A5AC5" w:rsidRPr="009A5AC5">
        <w:rPr>
          <w:rFonts w:ascii="Times New Roman" w:hAnsi="Times New Roman" w:cs="Times New Roman"/>
          <w:sz w:val="28"/>
          <w:szCs w:val="28"/>
        </w:rPr>
        <w:t xml:space="preserve"> Актів прийому передачі</w:t>
      </w:r>
      <w:r w:rsidR="009A5AC5">
        <w:rPr>
          <w:rFonts w:ascii="Times New Roman" w:hAnsi="Times New Roman" w:cs="Times New Roman"/>
          <w:sz w:val="28"/>
          <w:szCs w:val="28"/>
        </w:rPr>
        <w:t>,</w:t>
      </w:r>
      <w:r w:rsidR="009A5AC5" w:rsidRPr="009A5AC5">
        <w:rPr>
          <w:rFonts w:ascii="Times New Roman" w:hAnsi="Times New Roman" w:cs="Times New Roman"/>
          <w:sz w:val="28"/>
          <w:szCs w:val="28"/>
        </w:rPr>
        <w:t xml:space="preserve"> </w:t>
      </w:r>
      <w:r w:rsidR="001D61FB" w:rsidRPr="009A5AC5">
        <w:rPr>
          <w:rFonts w:ascii="Times New Roman" w:hAnsi="Times New Roman" w:cs="Times New Roman"/>
          <w:sz w:val="28"/>
          <w:szCs w:val="28"/>
        </w:rPr>
        <w:t>здійснити передачу продуктів харчування до найближчих закладів освіти</w:t>
      </w:r>
      <w:r w:rsidR="00FD3D71">
        <w:rPr>
          <w:rFonts w:ascii="Times New Roman" w:hAnsi="Times New Roman" w:cs="Times New Roman"/>
          <w:sz w:val="28"/>
          <w:szCs w:val="28"/>
        </w:rPr>
        <w:t>,</w:t>
      </w:r>
      <w:r w:rsidR="001D61FB" w:rsidRPr="009A5AC5">
        <w:rPr>
          <w:rFonts w:ascii="Times New Roman" w:hAnsi="Times New Roman" w:cs="Times New Roman"/>
          <w:sz w:val="28"/>
          <w:szCs w:val="28"/>
        </w:rPr>
        <w:t xml:space="preserve"> визначених переліком закладів тимчасового розміщення вимушено переміщених осіб Хустської міської територіальної громади.</w:t>
      </w:r>
    </w:p>
    <w:p w:rsidR="007A1CE7" w:rsidRDefault="00986733" w:rsidP="009A5AC5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C5">
        <w:rPr>
          <w:rFonts w:ascii="Times New Roman" w:hAnsi="Times New Roman" w:cs="Times New Roman"/>
          <w:sz w:val="28"/>
          <w:szCs w:val="28"/>
        </w:rPr>
        <w:t>Акти прийому-передачі складаються комісіями з прийому-передачі</w:t>
      </w:r>
      <w:r w:rsidR="00652339">
        <w:rPr>
          <w:rFonts w:ascii="Times New Roman" w:hAnsi="Times New Roman" w:cs="Times New Roman"/>
          <w:sz w:val="28"/>
          <w:szCs w:val="28"/>
        </w:rPr>
        <w:t>,</w:t>
      </w:r>
      <w:r w:rsidRPr="009A5AC5">
        <w:rPr>
          <w:rFonts w:ascii="Times New Roman" w:hAnsi="Times New Roman" w:cs="Times New Roman"/>
          <w:sz w:val="28"/>
          <w:szCs w:val="28"/>
        </w:rPr>
        <w:t xml:space="preserve"> утвореними у закладах освіти</w:t>
      </w:r>
      <w:r w:rsidR="00002036" w:rsidRPr="009A5AC5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652339">
        <w:rPr>
          <w:rFonts w:ascii="Times New Roman" w:hAnsi="Times New Roman" w:cs="Times New Roman"/>
          <w:sz w:val="28"/>
          <w:szCs w:val="28"/>
        </w:rPr>
        <w:t xml:space="preserve"> з наказами</w:t>
      </w:r>
      <w:r w:rsidR="00002036" w:rsidRPr="009A5AC5">
        <w:rPr>
          <w:rFonts w:ascii="Times New Roman" w:hAnsi="Times New Roman" w:cs="Times New Roman"/>
          <w:sz w:val="28"/>
          <w:szCs w:val="28"/>
        </w:rPr>
        <w:t xml:space="preserve"> керівників</w:t>
      </w:r>
      <w:r w:rsidRPr="009A5AC5">
        <w:rPr>
          <w:rFonts w:ascii="Times New Roman" w:hAnsi="Times New Roman" w:cs="Times New Roman"/>
          <w:sz w:val="28"/>
          <w:szCs w:val="28"/>
        </w:rPr>
        <w:t>. Акти скла</w:t>
      </w:r>
      <w:r w:rsidR="00002036" w:rsidRPr="009A5AC5">
        <w:rPr>
          <w:rFonts w:ascii="Times New Roman" w:hAnsi="Times New Roman" w:cs="Times New Roman"/>
          <w:sz w:val="28"/>
          <w:szCs w:val="28"/>
        </w:rPr>
        <w:t>даються в трьох примірниках. Один з примірників Акту прийому-передачі передається до управління освіти, релігій та у справах національностей для здійснення  бухгалтерського обліку продуктів харчування.</w:t>
      </w:r>
    </w:p>
    <w:p w:rsidR="008C41AF" w:rsidRDefault="00652339" w:rsidP="009A5AC5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C41AF">
        <w:rPr>
          <w:rFonts w:ascii="Times New Roman" w:hAnsi="Times New Roman" w:cs="Times New Roman"/>
          <w:sz w:val="28"/>
          <w:szCs w:val="28"/>
        </w:rPr>
        <w:t xml:space="preserve">становити трьохразовий режим харчування внутрішньо </w:t>
      </w:r>
      <w:r w:rsidR="008C41AF" w:rsidRPr="00E86C37">
        <w:rPr>
          <w:rFonts w:ascii="Times New Roman" w:hAnsi="Times New Roman" w:cs="Times New Roman"/>
          <w:sz w:val="28"/>
          <w:szCs w:val="28"/>
        </w:rPr>
        <w:t>пе</w:t>
      </w:r>
      <w:r w:rsidR="000F499C">
        <w:rPr>
          <w:rFonts w:ascii="Times New Roman" w:hAnsi="Times New Roman" w:cs="Times New Roman"/>
          <w:sz w:val="28"/>
          <w:szCs w:val="28"/>
        </w:rPr>
        <w:t>реміщених та /або евакуйованих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99C">
        <w:rPr>
          <w:rFonts w:ascii="Times New Roman" w:hAnsi="Times New Roman" w:cs="Times New Roman"/>
          <w:sz w:val="28"/>
          <w:szCs w:val="28"/>
        </w:rPr>
        <w:t xml:space="preserve"> </w:t>
      </w:r>
      <w:r w:rsidR="008C41AF" w:rsidRPr="00E86C37">
        <w:rPr>
          <w:rFonts w:ascii="Times New Roman" w:hAnsi="Times New Roman" w:cs="Times New Roman"/>
          <w:sz w:val="28"/>
          <w:szCs w:val="28"/>
        </w:rPr>
        <w:t>розміщених у закладах освіти, які фінансуються з бюджету Хустської міської територіальної громади</w:t>
      </w:r>
      <w:r w:rsidR="008C41AF">
        <w:rPr>
          <w:rFonts w:ascii="Times New Roman" w:hAnsi="Times New Roman" w:cs="Times New Roman"/>
          <w:sz w:val="28"/>
          <w:szCs w:val="28"/>
        </w:rPr>
        <w:t>.</w:t>
      </w:r>
    </w:p>
    <w:p w:rsidR="00005C18" w:rsidRDefault="004C180B" w:rsidP="00005C18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Враховуючи, що кожний заклад освіти забезпечує харчуванням вищезазначених осіб з наявних у закладах продуктів, </w:t>
      </w:r>
      <w:r w:rsidR="000F499C">
        <w:rPr>
          <w:rFonts w:ascii="Times New Roman" w:hAnsi="Times New Roman" w:cs="Times New Roman"/>
          <w:color w:val="000000" w:themeColor="text1"/>
          <w:sz w:val="28"/>
          <w:szCs w:val="28"/>
        </w:rPr>
        <w:t>керівникам закладів освіти утворити комісії з прийому-передачі та списання продуктів харчування. До складу таких комісій обов’язково включаються керівники закладів освіти, завгоспи та працівники кухні, а також інші працівники закладу освіти визначені наказом керівника. В</w:t>
      </w:r>
      <w:r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ідповідальним особам </w:t>
      </w:r>
      <w:r w:rsidR="000F4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(комісіям) </w:t>
      </w:r>
      <w:r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облік та списання продуктів харчування </w:t>
      </w:r>
      <w:r w:rsidR="00005C18"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закладів </w:t>
      </w:r>
      <w:r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щоденно складати Акти списання використаних продуктів харчування. </w:t>
      </w:r>
      <w:r w:rsidR="002B04CA"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 списання використаних продуктів складати у відповідності до типової форми меню вимоги та накопичувальної відомості витрат продуктів харчування. </w:t>
      </w:r>
      <w:r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 списання використаних продуктів щопонеділка передавати управлінню освіти, релігій та у справах національностей виконавчого комітету Хустської міської ради для проведення </w:t>
      </w:r>
      <w:r w:rsidR="00005C18"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їх </w:t>
      </w:r>
      <w:r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бухгалтерського обліку (списання та надходження</w:t>
      </w:r>
      <w:r w:rsidR="002B04CA"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продуктів харчування</w:t>
      </w:r>
      <w:r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05C18"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35F8" w:rsidRPr="002B04CA" w:rsidRDefault="002A35F8" w:rsidP="00005C18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Утримання та забезпечення харчуванням  </w:t>
      </w:r>
      <w:r>
        <w:rPr>
          <w:rFonts w:ascii="Times New Roman" w:hAnsi="Times New Roman" w:cs="Times New Roman"/>
          <w:sz w:val="28"/>
          <w:szCs w:val="28"/>
        </w:rPr>
        <w:t xml:space="preserve">внутрішньо </w:t>
      </w:r>
      <w:r w:rsidRPr="00E86C37">
        <w:rPr>
          <w:rFonts w:ascii="Times New Roman" w:hAnsi="Times New Roman" w:cs="Times New Roman"/>
          <w:sz w:val="28"/>
          <w:szCs w:val="28"/>
        </w:rPr>
        <w:t>переміщених та /або евакуйованих  осіб</w:t>
      </w:r>
      <w:r w:rsidR="00B37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37">
        <w:rPr>
          <w:rFonts w:ascii="Times New Roman" w:hAnsi="Times New Roman" w:cs="Times New Roman"/>
          <w:sz w:val="28"/>
          <w:szCs w:val="28"/>
        </w:rPr>
        <w:t>розміщених у закладах освіти, які фінансуються з  бюджету Хустської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можливе за рахунок інших джерел</w:t>
      </w:r>
      <w:r w:rsidR="00B37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законодавством.</w:t>
      </w:r>
    </w:p>
    <w:p w:rsidR="00A3276A" w:rsidRPr="002A35F8" w:rsidRDefault="00854E43" w:rsidP="00005C18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Цей порядок діє на строк введення воєнного стану, визначеного Указом Президента України, за наявності </w:t>
      </w:r>
      <w:r w:rsidR="00A038F1"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>продуктів харчування у закладах</w:t>
      </w:r>
      <w:r w:rsidR="00B377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38F1" w:rsidRPr="002B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визначених </w:t>
      </w:r>
      <w:r w:rsidR="00A038F1" w:rsidRPr="000C6768">
        <w:rPr>
          <w:rFonts w:ascii="Times New Roman" w:hAnsi="Times New Roman" w:cs="Times New Roman"/>
          <w:sz w:val="28"/>
          <w:szCs w:val="28"/>
        </w:rPr>
        <w:t>переліком закладів тимчасового розміщення вимушено переміщених осіб</w:t>
      </w:r>
      <w:r w:rsidR="00A038F1">
        <w:rPr>
          <w:rFonts w:ascii="Times New Roman" w:hAnsi="Times New Roman" w:cs="Times New Roman"/>
          <w:sz w:val="28"/>
          <w:szCs w:val="28"/>
        </w:rPr>
        <w:t xml:space="preserve"> Хустської міської територіальної громади</w:t>
      </w:r>
      <w:r w:rsidR="00B3779D">
        <w:rPr>
          <w:rFonts w:ascii="Times New Roman" w:hAnsi="Times New Roman" w:cs="Times New Roman"/>
          <w:sz w:val="28"/>
          <w:szCs w:val="28"/>
        </w:rPr>
        <w:t>,</w:t>
      </w:r>
      <w:r w:rsidR="00A038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35F8" w:rsidRPr="002A35F8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затвердженого розпорядженням  міського голови та рішенням виконавчого комітету Хустської міської ради.</w:t>
      </w:r>
    </w:p>
    <w:p w:rsidR="009C5A28" w:rsidRDefault="009C5A28" w:rsidP="00854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76A" w:rsidRPr="009C5A28" w:rsidRDefault="009C5A28" w:rsidP="00854E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A28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 w:rsidRPr="009C5A28">
        <w:rPr>
          <w:rFonts w:ascii="Times New Roman" w:hAnsi="Times New Roman" w:cs="Times New Roman"/>
          <w:b/>
          <w:sz w:val="28"/>
          <w:szCs w:val="28"/>
        </w:rPr>
        <w:tab/>
      </w:r>
      <w:r w:rsidRPr="009C5A28">
        <w:rPr>
          <w:rFonts w:ascii="Times New Roman" w:hAnsi="Times New Roman" w:cs="Times New Roman"/>
          <w:b/>
          <w:sz w:val="28"/>
          <w:szCs w:val="28"/>
        </w:rPr>
        <w:tab/>
      </w:r>
      <w:r w:rsidRPr="009C5A28">
        <w:rPr>
          <w:rFonts w:ascii="Times New Roman" w:hAnsi="Times New Roman" w:cs="Times New Roman"/>
          <w:b/>
          <w:sz w:val="28"/>
          <w:szCs w:val="28"/>
        </w:rPr>
        <w:tab/>
      </w:r>
      <w:r w:rsidRPr="009C5A28">
        <w:rPr>
          <w:rFonts w:ascii="Times New Roman" w:hAnsi="Times New Roman" w:cs="Times New Roman"/>
          <w:b/>
          <w:sz w:val="28"/>
          <w:szCs w:val="28"/>
        </w:rPr>
        <w:tab/>
      </w:r>
      <w:r w:rsidRPr="009C5A28">
        <w:rPr>
          <w:rFonts w:ascii="Times New Roman" w:hAnsi="Times New Roman" w:cs="Times New Roman"/>
          <w:b/>
          <w:sz w:val="28"/>
          <w:szCs w:val="28"/>
        </w:rPr>
        <w:tab/>
      </w:r>
      <w:r w:rsidRPr="009C5A2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Генріє</w:t>
      </w:r>
      <w:r w:rsidRPr="009C5A28">
        <w:rPr>
          <w:rFonts w:ascii="Times New Roman" w:hAnsi="Times New Roman" w:cs="Times New Roman"/>
          <w:b/>
          <w:sz w:val="28"/>
          <w:szCs w:val="28"/>
        </w:rPr>
        <w:t>тта</w:t>
      </w:r>
      <w:proofErr w:type="spellEnd"/>
      <w:r w:rsidRPr="009C5A28">
        <w:rPr>
          <w:rFonts w:ascii="Times New Roman" w:hAnsi="Times New Roman" w:cs="Times New Roman"/>
          <w:b/>
          <w:sz w:val="28"/>
          <w:szCs w:val="28"/>
        </w:rPr>
        <w:t xml:space="preserve"> МАХАНЕЦЬ</w:t>
      </w:r>
    </w:p>
    <w:sectPr w:rsidR="00A3276A" w:rsidRPr="009C5A28" w:rsidSect="00A32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A7C"/>
    <w:multiLevelType w:val="hybridMultilevel"/>
    <w:tmpl w:val="30EAE0D2"/>
    <w:lvl w:ilvl="0" w:tplc="83C6CFF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079CE"/>
    <w:multiLevelType w:val="hybridMultilevel"/>
    <w:tmpl w:val="C5A86A6C"/>
    <w:lvl w:ilvl="0" w:tplc="4B7C3F12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C116C8"/>
    <w:multiLevelType w:val="multilevel"/>
    <w:tmpl w:val="3E46894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40D906CD"/>
    <w:multiLevelType w:val="hybridMultilevel"/>
    <w:tmpl w:val="C770C9C4"/>
    <w:lvl w:ilvl="0" w:tplc="686698FE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1DA12AC"/>
    <w:multiLevelType w:val="hybridMultilevel"/>
    <w:tmpl w:val="A91C40E2"/>
    <w:lvl w:ilvl="0" w:tplc="E9389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69979D2"/>
    <w:multiLevelType w:val="hybridMultilevel"/>
    <w:tmpl w:val="8D9E5E72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</w:lvl>
  </w:abstractNum>
  <w:abstractNum w:abstractNumId="6">
    <w:nsid w:val="5AD73B32"/>
    <w:multiLevelType w:val="hybridMultilevel"/>
    <w:tmpl w:val="A2D2EC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F6D56"/>
    <w:multiLevelType w:val="hybridMultilevel"/>
    <w:tmpl w:val="A91C40E2"/>
    <w:lvl w:ilvl="0" w:tplc="E9389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EC34134"/>
    <w:multiLevelType w:val="hybridMultilevel"/>
    <w:tmpl w:val="63A08DD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E2AC3"/>
    <w:rsid w:val="00002036"/>
    <w:rsid w:val="00005C18"/>
    <w:rsid w:val="00047862"/>
    <w:rsid w:val="000C6768"/>
    <w:rsid w:val="000F499C"/>
    <w:rsid w:val="0013646C"/>
    <w:rsid w:val="001D2073"/>
    <w:rsid w:val="001D61FB"/>
    <w:rsid w:val="002A35F8"/>
    <w:rsid w:val="002B04CA"/>
    <w:rsid w:val="002B6D1B"/>
    <w:rsid w:val="003126AD"/>
    <w:rsid w:val="00315DBD"/>
    <w:rsid w:val="00326281"/>
    <w:rsid w:val="00374747"/>
    <w:rsid w:val="003D4CD5"/>
    <w:rsid w:val="004174B2"/>
    <w:rsid w:val="00421007"/>
    <w:rsid w:val="004C180B"/>
    <w:rsid w:val="005A5C89"/>
    <w:rsid w:val="005D3789"/>
    <w:rsid w:val="00652339"/>
    <w:rsid w:val="00656DFE"/>
    <w:rsid w:val="00681E18"/>
    <w:rsid w:val="00706DFB"/>
    <w:rsid w:val="007A1CE7"/>
    <w:rsid w:val="007A692D"/>
    <w:rsid w:val="007A6A1E"/>
    <w:rsid w:val="00854E43"/>
    <w:rsid w:val="008C41AF"/>
    <w:rsid w:val="0093187F"/>
    <w:rsid w:val="00986733"/>
    <w:rsid w:val="009A5AC5"/>
    <w:rsid w:val="009B4011"/>
    <w:rsid w:val="009C5A28"/>
    <w:rsid w:val="00A038F1"/>
    <w:rsid w:val="00A3276A"/>
    <w:rsid w:val="00A93EC0"/>
    <w:rsid w:val="00B3779D"/>
    <w:rsid w:val="00B579D3"/>
    <w:rsid w:val="00B64835"/>
    <w:rsid w:val="00C81153"/>
    <w:rsid w:val="00CD1503"/>
    <w:rsid w:val="00DB1394"/>
    <w:rsid w:val="00DD1BCC"/>
    <w:rsid w:val="00DE2AC3"/>
    <w:rsid w:val="00DF426F"/>
    <w:rsid w:val="00E86C37"/>
    <w:rsid w:val="00EF2FD2"/>
    <w:rsid w:val="00F41B95"/>
    <w:rsid w:val="00F541FD"/>
    <w:rsid w:val="00FD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73"/>
  </w:style>
  <w:style w:type="paragraph" w:styleId="1">
    <w:name w:val="heading 1"/>
    <w:basedOn w:val="a"/>
    <w:next w:val="a"/>
    <w:link w:val="10"/>
    <w:uiPriority w:val="9"/>
    <w:qFormat/>
    <w:rsid w:val="00DF4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rsid w:val="00DE2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E2A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E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2AC3"/>
    <w:pPr>
      <w:spacing w:after="0" w:line="240" w:lineRule="auto"/>
    </w:pPr>
    <w:rPr>
      <w:rFonts w:eastAsiaTheme="minorHAnsi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DE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AC3"/>
    <w:rPr>
      <w:rFonts w:ascii="Tahoma" w:hAnsi="Tahoma" w:cs="Tahoma"/>
      <w:sz w:val="16"/>
      <w:szCs w:val="16"/>
    </w:rPr>
  </w:style>
  <w:style w:type="character" w:styleId="a7">
    <w:name w:val="Hyperlink"/>
    <w:rsid w:val="00B6483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C67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4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DF4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EB46-22AD-4F41-82D1-0C755744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4404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17</cp:revision>
  <cp:lastPrinted>2022-03-12T12:57:00Z</cp:lastPrinted>
  <dcterms:created xsi:type="dcterms:W3CDTF">2022-03-12T09:53:00Z</dcterms:created>
  <dcterms:modified xsi:type="dcterms:W3CDTF">2022-03-12T13:01:00Z</dcterms:modified>
</cp:coreProperties>
</file>